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DF" w:rsidRPr="00B266D6" w:rsidRDefault="00AB1EA1" w:rsidP="004066DF">
      <w:pPr>
        <w:rPr>
          <w:rFonts w:ascii="Courier New" w:hAnsi="Courier New" w:cs="Courier New"/>
          <w:b/>
          <w:i/>
          <w:sz w:val="24"/>
          <w:szCs w:val="28"/>
          <w:u w:val="single"/>
        </w:rPr>
      </w:pPr>
      <w:r w:rsidRPr="00B266D6">
        <w:rPr>
          <w:rFonts w:ascii="Courier New" w:hAnsi="Courier New" w:cs="Courier New"/>
          <w:b/>
          <w:i/>
          <w:sz w:val="24"/>
          <w:szCs w:val="28"/>
          <w:u w:val="single"/>
        </w:rPr>
        <w:t xml:space="preserve">Programma </w:t>
      </w:r>
      <w:r w:rsidR="00034D39" w:rsidRPr="00B266D6">
        <w:rPr>
          <w:rFonts w:ascii="Courier New" w:hAnsi="Courier New" w:cs="Courier New"/>
          <w:b/>
          <w:i/>
          <w:sz w:val="24"/>
          <w:szCs w:val="28"/>
          <w:u w:val="single"/>
        </w:rPr>
        <w:t>Ivrea la città che era già futuro</w:t>
      </w:r>
      <w:r w:rsidRPr="00B266D6">
        <w:rPr>
          <w:rFonts w:ascii="Courier New" w:hAnsi="Courier New" w:cs="Courier New"/>
          <w:b/>
          <w:i/>
          <w:sz w:val="24"/>
          <w:szCs w:val="28"/>
          <w:u w:val="single"/>
        </w:rPr>
        <w:t xml:space="preserve"> </w:t>
      </w:r>
    </w:p>
    <w:p w:rsidR="004066DF" w:rsidRPr="00B266D6" w:rsidRDefault="00AB1EA1" w:rsidP="004066DF">
      <w:pPr>
        <w:rPr>
          <w:rFonts w:ascii="Courier New" w:hAnsi="Courier New" w:cs="Courier New"/>
          <w:sz w:val="20"/>
          <w:szCs w:val="18"/>
        </w:rPr>
      </w:pPr>
      <w:r w:rsidRPr="00B266D6">
        <w:rPr>
          <w:rFonts w:ascii="Courier New" w:hAnsi="Courier New" w:cs="Courier New"/>
          <w:sz w:val="20"/>
          <w:szCs w:val="18"/>
        </w:rPr>
        <w:t xml:space="preserve">Itinerario turistico che percorre la strada più bella del mondo, così come la definì Le </w:t>
      </w:r>
      <w:proofErr w:type="spellStart"/>
      <w:r w:rsidRPr="00B266D6">
        <w:rPr>
          <w:rFonts w:ascii="Courier New" w:hAnsi="Courier New" w:cs="Courier New"/>
          <w:sz w:val="20"/>
          <w:szCs w:val="18"/>
        </w:rPr>
        <w:t>Corbusier</w:t>
      </w:r>
      <w:proofErr w:type="spellEnd"/>
      <w:r w:rsidRPr="00B266D6">
        <w:rPr>
          <w:rFonts w:ascii="Courier New" w:hAnsi="Courier New" w:cs="Courier New"/>
          <w:sz w:val="20"/>
          <w:szCs w:val="18"/>
        </w:rPr>
        <w:t xml:space="preserve"> negli anni ’50, che ha fatto da scenografia alla vita nella Fabbrica, ai progetti di innovazione e di coraggio imprenditoriale che resero unica la storia industriale di Olivetti.</w:t>
      </w:r>
    </w:p>
    <w:p w:rsidR="004066DF" w:rsidRPr="00B266D6" w:rsidRDefault="004066DF" w:rsidP="004066DF">
      <w:pPr>
        <w:rPr>
          <w:rFonts w:ascii="Courier New" w:hAnsi="Courier New" w:cs="Courier New"/>
          <w:sz w:val="20"/>
          <w:szCs w:val="18"/>
          <w:u w:val="single"/>
        </w:rPr>
      </w:pPr>
      <w:r w:rsidRPr="00B266D6">
        <w:rPr>
          <w:rFonts w:ascii="Courier New" w:hAnsi="Courier New" w:cs="Courier New"/>
          <w:sz w:val="20"/>
          <w:szCs w:val="18"/>
          <w:u w:val="single"/>
        </w:rPr>
        <w:t>HALF DAY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Fascia dei Servizi Sociali (Figini e Pollini)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color w:val="000000"/>
          <w:sz w:val="20"/>
          <w:szCs w:val="18"/>
        </w:rPr>
        <w:t>Complesso di edifici nati alla fine degli anni ’50 per ospitare l’infermeria ed il centro culturale. Internamente è visitabile la ex biblioteca</w:t>
      </w:r>
      <w:r w:rsidR="00B266D6">
        <w:rPr>
          <w:rFonts w:ascii="Courier New" w:hAnsi="Courier New" w:cs="Courier New"/>
          <w:color w:val="000000"/>
          <w:sz w:val="20"/>
          <w:szCs w:val="18"/>
        </w:rPr>
        <w:t xml:space="preserve"> con mostra</w:t>
      </w:r>
      <w:bookmarkStart w:id="0" w:name="_GoBack"/>
      <w:bookmarkEnd w:id="0"/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Asilo nido e Case Popolari di Borgo Olivetti</w:t>
      </w:r>
      <w:r w:rsidR="003A7963"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 xml:space="preserve"> </w:t>
      </w:r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(Figini e Pollini) 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color w:val="000000"/>
          <w:sz w:val="20"/>
          <w:szCs w:val="18"/>
        </w:rPr>
        <w:t>Edifici nati a cavallo del 1940, internamente è visitabile la parte già ristrutturata dell’asilo (aula giardino)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color w:val="000000"/>
          <w:sz w:val="20"/>
          <w:szCs w:val="18"/>
        </w:rPr>
        <w:t>Nel biennio 2025-26 a causa dei previsti lavori di ristrutturazione le visite potranno effettuarsi solo previo consenso della Direzione Lavori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Unità Residenziale Ovest (</w:t>
      </w:r>
      <w:proofErr w:type="spellStart"/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Talponia</w:t>
      </w:r>
      <w:proofErr w:type="spellEnd"/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) (Gabetti e D’Isola)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color w:val="000000"/>
          <w:sz w:val="20"/>
          <w:szCs w:val="18"/>
        </w:rPr>
        <w:t>Edificio datato 1971 ad uso foresteria, visitabile anche all’ interno (duplex e simplex)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Quartiere residenziale Castellamonte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color w:val="000000"/>
          <w:sz w:val="20"/>
          <w:szCs w:val="18"/>
        </w:rPr>
        <w:t>Area residenziale realizzata a cavallo tra anni ‘40 e ‘50. Visitabile solo esternamente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 xml:space="preserve">Palazzo Uffici (Fiocchi, </w:t>
      </w:r>
      <w:proofErr w:type="spellStart"/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Bernasconi</w:t>
      </w:r>
      <w:proofErr w:type="spellEnd"/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 xml:space="preserve">, </w:t>
      </w:r>
      <w:proofErr w:type="spellStart"/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Nizzoli</w:t>
      </w:r>
      <w:proofErr w:type="spellEnd"/>
      <w:r w:rsidRPr="00B266D6">
        <w:rPr>
          <w:rFonts w:ascii="Courier New" w:hAnsi="Courier New" w:cs="Courier New"/>
          <w:b/>
          <w:bCs/>
          <w:color w:val="000000"/>
          <w:sz w:val="20"/>
          <w:szCs w:val="18"/>
        </w:rPr>
        <w:t>)</w:t>
      </w:r>
    </w:p>
    <w:p w:rsidR="00034D39" w:rsidRPr="00B266D6" w:rsidRDefault="00034D39" w:rsidP="00034D39">
      <w:pPr>
        <w:pStyle w:val="NormaleWeb"/>
        <w:spacing w:before="0" w:beforeAutospacing="0" w:after="160" w:afterAutospacing="0"/>
        <w:jc w:val="both"/>
        <w:rPr>
          <w:sz w:val="20"/>
          <w:szCs w:val="18"/>
        </w:rPr>
      </w:pPr>
      <w:r w:rsidRPr="00B266D6">
        <w:rPr>
          <w:rFonts w:ascii="Courier New" w:hAnsi="Courier New" w:cs="Courier New"/>
          <w:color w:val="000000"/>
          <w:sz w:val="20"/>
          <w:szCs w:val="18"/>
        </w:rPr>
        <w:t>Palazzo realizzato all’inizio degli anni ’60, ospitava i vertici aziendali. Visitabile internamente lo scalone monumentale, la foresteria e la sala conferenze</w:t>
      </w:r>
    </w:p>
    <w:p w:rsidR="00B266D6" w:rsidRPr="00B266D6" w:rsidRDefault="00B266D6" w:rsidP="00AB1EA1">
      <w:pPr>
        <w:pStyle w:val="NormaleWeb"/>
        <w:spacing w:before="0" w:beforeAutospacing="0" w:after="160" w:afterAutospacing="0"/>
        <w:jc w:val="both"/>
        <w:rPr>
          <w:rFonts w:ascii="Courier New" w:hAnsi="Courier New" w:cs="Courier New"/>
          <w:color w:val="000000"/>
          <w:sz w:val="20"/>
          <w:szCs w:val="18"/>
        </w:rPr>
      </w:pPr>
    </w:p>
    <w:p w:rsidR="00D1009C" w:rsidRPr="00B266D6" w:rsidRDefault="00AB1EA1" w:rsidP="00AB1EA1">
      <w:pPr>
        <w:pStyle w:val="NormaleWeb"/>
        <w:spacing w:before="0" w:beforeAutospacing="0" w:after="160" w:afterAutospacing="0"/>
        <w:jc w:val="both"/>
        <w:rPr>
          <w:rFonts w:ascii="Courier New" w:hAnsi="Courier New" w:cs="Courier New"/>
          <w:sz w:val="20"/>
          <w:szCs w:val="18"/>
        </w:rPr>
      </w:pPr>
      <w:r w:rsidRPr="00B266D6">
        <w:rPr>
          <w:rFonts w:ascii="Courier New" w:hAnsi="Courier New" w:cs="Courier New"/>
          <w:color w:val="000000"/>
          <w:sz w:val="20"/>
          <w:szCs w:val="18"/>
        </w:rPr>
        <w:t>Sebbene si stia lavorando per rimuoverle, alcuni edifici presentano barrire architettoniche e non sono adatte a persone con ridotta mobilità.</w:t>
      </w:r>
    </w:p>
    <w:sectPr w:rsidR="00D1009C" w:rsidRPr="00B26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F"/>
    <w:rsid w:val="00034D39"/>
    <w:rsid w:val="003A7963"/>
    <w:rsid w:val="004066DF"/>
    <w:rsid w:val="004D31D9"/>
    <w:rsid w:val="005103B1"/>
    <w:rsid w:val="005C04EE"/>
    <w:rsid w:val="0080184D"/>
    <w:rsid w:val="0094093E"/>
    <w:rsid w:val="009A67BC"/>
    <w:rsid w:val="00AB1EA1"/>
    <w:rsid w:val="00B266D6"/>
    <w:rsid w:val="00D1009C"/>
    <w:rsid w:val="00F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7C560-E67F-44FC-A467-4A572274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3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ivrea</dc:creator>
  <cp:keywords/>
  <dc:description/>
  <cp:lastModifiedBy>ivrea</cp:lastModifiedBy>
  <cp:revision>14</cp:revision>
  <dcterms:created xsi:type="dcterms:W3CDTF">2025-05-11T14:28:00Z</dcterms:created>
  <dcterms:modified xsi:type="dcterms:W3CDTF">2025-05-15T10:23:00Z</dcterms:modified>
</cp:coreProperties>
</file>